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B04D" w14:textId="2578E673" w:rsidR="002804B3" w:rsidRDefault="002804B3" w:rsidP="002804B3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</w:t>
      </w:r>
      <w:r w:rsidR="004E5B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4E5B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4E5B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 xml:space="preserve">         </w:t>
      </w:r>
      <w:r w:rsidRPr="00022B0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PATVIRTIN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 </w:t>
      </w:r>
    </w:p>
    <w:p w14:paraId="2AA6A9C6" w14:textId="3E26D6AB" w:rsidR="002804B3" w:rsidRPr="00022B07" w:rsidRDefault="002804B3" w:rsidP="002804B3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</w:t>
      </w:r>
      <w:r w:rsidR="004E5B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4E5B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4E5B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 xml:space="preserve">         </w:t>
      </w:r>
      <w:r w:rsidRPr="00022B0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Panevėžio lopšelio-darželio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</w:t>
      </w:r>
      <w:r w:rsidRPr="00022B0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Varpelis</w:t>
      </w:r>
      <w:r w:rsidRPr="00022B0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“</w:t>
      </w:r>
    </w:p>
    <w:p w14:paraId="56CBEB24" w14:textId="5BD577E0" w:rsidR="002804B3" w:rsidRDefault="002804B3" w:rsidP="002804B3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</w:t>
      </w:r>
      <w:r w:rsidR="004E5B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</w:t>
      </w:r>
      <w:r w:rsidRPr="00022B0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irektoriaus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2F71D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 m. rugsėjo</w:t>
      </w:r>
      <w:r w:rsidR="005176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23 </w:t>
      </w:r>
      <w:r w:rsidRPr="002F71D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d. </w:t>
      </w:r>
    </w:p>
    <w:p w14:paraId="6808B897" w14:textId="02C4245A" w:rsidR="002804B3" w:rsidRPr="002A37CA" w:rsidRDefault="002804B3" w:rsidP="002804B3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</w:t>
      </w:r>
      <w:r w:rsidR="004E5B7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 </w:t>
      </w:r>
      <w:r w:rsidRPr="002F71D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įsakymu Nr.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2F71D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V-</w:t>
      </w:r>
      <w:r w:rsidR="0051761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100</w:t>
      </w:r>
    </w:p>
    <w:p w14:paraId="04E41334" w14:textId="77777777" w:rsidR="006D7AE1" w:rsidRDefault="006D7AE1" w:rsidP="002804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A3D652" w14:textId="254B3DB3" w:rsidR="00A46736" w:rsidRPr="004E5B75" w:rsidRDefault="006D7AE1" w:rsidP="002804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E5B7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PANEVĖŽIO LOPŠELIO-DARŽELIO ,,VARPELIS” PASIRENGIMO DIEGTI ATNAUJINTĄ </w:t>
      </w:r>
      <w:r w:rsidR="00805A1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PRIEŠMOKYKLINIO </w:t>
      </w:r>
      <w:r w:rsidR="00CE226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UDYMO </w:t>
      </w:r>
      <w:r w:rsidRPr="004E5B75">
        <w:rPr>
          <w:rFonts w:ascii="Times New Roman" w:hAnsi="Times New Roman" w:cs="Times New Roman"/>
          <w:b/>
          <w:bCs/>
          <w:sz w:val="24"/>
          <w:szCs w:val="24"/>
          <w:lang w:val="lt-LT"/>
        </w:rPr>
        <w:t>TURINĮ 2022-2024</w:t>
      </w:r>
      <w:r w:rsidR="004E5B7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4E5B75">
        <w:rPr>
          <w:rFonts w:ascii="Times New Roman" w:hAnsi="Times New Roman" w:cs="Times New Roman"/>
          <w:b/>
          <w:bCs/>
          <w:sz w:val="24"/>
          <w:szCs w:val="24"/>
          <w:lang w:val="lt-LT"/>
        </w:rPr>
        <w:t>METAIS VEIKSMŲ PLANAS</w:t>
      </w:r>
    </w:p>
    <w:p w14:paraId="0C884B20" w14:textId="25477D90" w:rsidR="006D7AE1" w:rsidRPr="001B19FE" w:rsidRDefault="004E5B75" w:rsidP="00270CF4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ab/>
      </w:r>
      <w:r w:rsidR="006D7AE1" w:rsidRPr="001B19F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Tikslas – </w:t>
      </w:r>
      <w:r w:rsidR="006D7AE1" w:rsidRPr="001B19FE">
        <w:rPr>
          <w:rFonts w:ascii="Times New Roman" w:hAnsi="Times New Roman" w:cs="Times New Roman"/>
          <w:sz w:val="24"/>
          <w:szCs w:val="24"/>
          <w:lang w:val="lt-LT"/>
        </w:rPr>
        <w:t xml:space="preserve">pasiruošti </w:t>
      </w:r>
      <w:proofErr w:type="spellStart"/>
      <w:r w:rsidR="0084590D">
        <w:rPr>
          <w:rFonts w:ascii="Times New Roman" w:hAnsi="Times New Roman" w:cs="Times New Roman"/>
          <w:sz w:val="24"/>
          <w:szCs w:val="24"/>
          <w:lang w:val="lt-LT"/>
        </w:rPr>
        <w:t>atnaujin</w:t>
      </w:r>
      <w:r w:rsidR="0049480B">
        <w:rPr>
          <w:rFonts w:ascii="Times New Roman" w:hAnsi="Times New Roman" w:cs="Times New Roman"/>
          <w:sz w:val="24"/>
          <w:szCs w:val="24"/>
          <w:lang w:val="lt-LT"/>
        </w:rPr>
        <w:t>amo</w:t>
      </w:r>
      <w:r w:rsidR="002C17AB">
        <w:rPr>
          <w:rFonts w:ascii="Times New Roman" w:hAnsi="Times New Roman" w:cs="Times New Roman"/>
          <w:sz w:val="24"/>
          <w:szCs w:val="24"/>
          <w:lang w:val="lt-LT"/>
        </w:rPr>
        <w:t>o</w:t>
      </w:r>
      <w:proofErr w:type="spellEnd"/>
      <w:r w:rsidR="0084590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05A19">
        <w:rPr>
          <w:rFonts w:ascii="Times New Roman" w:hAnsi="Times New Roman" w:cs="Times New Roman"/>
          <w:sz w:val="24"/>
          <w:szCs w:val="24"/>
          <w:lang w:val="lt-LT"/>
        </w:rPr>
        <w:t xml:space="preserve">priešmokyklinio </w:t>
      </w:r>
      <w:r w:rsidR="00E861B6" w:rsidRPr="001B19FE">
        <w:rPr>
          <w:rFonts w:ascii="Times New Roman" w:hAnsi="Times New Roman" w:cs="Times New Roman"/>
          <w:sz w:val="24"/>
          <w:szCs w:val="24"/>
          <w:lang w:val="lt-LT"/>
        </w:rPr>
        <w:t>ugdymo turinio</w:t>
      </w:r>
      <w:r w:rsidR="001B19FE" w:rsidRPr="001B19FE">
        <w:rPr>
          <w:rFonts w:ascii="Times New Roman" w:hAnsi="Times New Roman" w:cs="Times New Roman"/>
          <w:sz w:val="24"/>
          <w:szCs w:val="24"/>
          <w:lang w:val="lt-LT"/>
        </w:rPr>
        <w:t xml:space="preserve"> (toliau – UT)</w:t>
      </w:r>
      <w:r w:rsidRPr="001B19FE">
        <w:rPr>
          <w:rFonts w:ascii="Times New Roman" w:hAnsi="Times New Roman" w:cs="Times New Roman"/>
          <w:sz w:val="24"/>
          <w:szCs w:val="24"/>
          <w:lang w:val="lt-LT"/>
        </w:rPr>
        <w:t xml:space="preserve"> Panevėžio lopšelyje-darželyje ,,Varpelis”</w:t>
      </w:r>
      <w:r w:rsidR="0084590D">
        <w:rPr>
          <w:rFonts w:ascii="Times New Roman" w:hAnsi="Times New Roman" w:cs="Times New Roman"/>
          <w:sz w:val="24"/>
          <w:szCs w:val="24"/>
          <w:lang w:val="lt-LT"/>
        </w:rPr>
        <w:t xml:space="preserve"> įgyvendinimui.</w:t>
      </w:r>
    </w:p>
    <w:p w14:paraId="5C3170F6" w14:textId="5CEAADE7" w:rsidR="004E5B75" w:rsidRPr="001B19FE" w:rsidRDefault="004E5B75" w:rsidP="001B19F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1B19F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B19FE">
        <w:rPr>
          <w:rFonts w:ascii="Times New Roman" w:hAnsi="Times New Roman" w:cs="Times New Roman"/>
          <w:b/>
          <w:bCs/>
          <w:sz w:val="24"/>
          <w:szCs w:val="24"/>
          <w:lang w:val="lt-LT"/>
        </w:rPr>
        <w:t>Uždaviniai:</w:t>
      </w:r>
    </w:p>
    <w:p w14:paraId="321E6836" w14:textId="62AE9079" w:rsidR="004E5B75" w:rsidRPr="002553DE" w:rsidRDefault="004E5B75" w:rsidP="001B19F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1B19FE">
        <w:rPr>
          <w:rFonts w:ascii="Times New Roman" w:hAnsi="Times New Roman" w:cs="Times New Roman"/>
          <w:b/>
          <w:bCs/>
          <w:sz w:val="24"/>
          <w:szCs w:val="24"/>
          <w:lang w:val="lt-LT"/>
        </w:rPr>
        <w:tab/>
      </w:r>
      <w:r w:rsidRPr="002553DE"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E861B6" w:rsidRPr="002553DE">
        <w:rPr>
          <w:rFonts w:ascii="Times New Roman" w:hAnsi="Times New Roman" w:cs="Times New Roman"/>
          <w:sz w:val="24"/>
          <w:szCs w:val="24"/>
          <w:lang w:val="lt-LT"/>
        </w:rPr>
        <w:t xml:space="preserve">Sudaryti ir </w:t>
      </w:r>
      <w:proofErr w:type="spellStart"/>
      <w:r w:rsidR="00E861B6" w:rsidRPr="002553DE">
        <w:rPr>
          <w:rFonts w:ascii="Times New Roman" w:hAnsi="Times New Roman" w:cs="Times New Roman"/>
          <w:sz w:val="24"/>
          <w:szCs w:val="24"/>
          <w:lang w:val="lt-LT"/>
        </w:rPr>
        <w:t>įveiklinti</w:t>
      </w:r>
      <w:proofErr w:type="spellEnd"/>
      <w:r w:rsidR="00E861B6" w:rsidRPr="002553D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4590D">
        <w:rPr>
          <w:rFonts w:ascii="Times New Roman" w:hAnsi="Times New Roman" w:cs="Times New Roman"/>
          <w:sz w:val="24"/>
          <w:szCs w:val="24"/>
          <w:lang w:val="lt-LT"/>
        </w:rPr>
        <w:t xml:space="preserve">atnaujinamo </w:t>
      </w:r>
      <w:r w:rsidR="00805A19">
        <w:rPr>
          <w:rFonts w:ascii="Times New Roman" w:hAnsi="Times New Roman" w:cs="Times New Roman"/>
          <w:sz w:val="24"/>
          <w:szCs w:val="24"/>
          <w:lang w:val="lt-LT"/>
        </w:rPr>
        <w:t xml:space="preserve">priešmokyklinio </w:t>
      </w:r>
      <w:r w:rsidR="001B19FE" w:rsidRPr="002553DE">
        <w:rPr>
          <w:rFonts w:ascii="Times New Roman" w:hAnsi="Times New Roman" w:cs="Times New Roman"/>
          <w:sz w:val="24"/>
          <w:szCs w:val="24"/>
          <w:lang w:val="lt-LT"/>
        </w:rPr>
        <w:t>UT komandą.</w:t>
      </w:r>
    </w:p>
    <w:p w14:paraId="230124F9" w14:textId="49CF6081" w:rsidR="001B19FE" w:rsidRPr="002553DE" w:rsidRDefault="001B19FE" w:rsidP="001B19F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2553DE">
        <w:rPr>
          <w:rFonts w:ascii="Times New Roman" w:hAnsi="Times New Roman" w:cs="Times New Roman"/>
          <w:sz w:val="24"/>
          <w:szCs w:val="24"/>
          <w:lang w:val="lt-LT"/>
        </w:rPr>
        <w:tab/>
        <w:t xml:space="preserve">2. Parengti veiksmų planą </w:t>
      </w:r>
      <w:r w:rsidR="00805A19">
        <w:rPr>
          <w:rFonts w:ascii="Times New Roman" w:hAnsi="Times New Roman" w:cs="Times New Roman"/>
          <w:sz w:val="24"/>
          <w:szCs w:val="24"/>
          <w:lang w:val="lt-LT"/>
        </w:rPr>
        <w:t>atnauji</w:t>
      </w:r>
      <w:r w:rsidR="0049480B">
        <w:rPr>
          <w:rFonts w:ascii="Times New Roman" w:hAnsi="Times New Roman" w:cs="Times New Roman"/>
          <w:sz w:val="24"/>
          <w:szCs w:val="24"/>
          <w:lang w:val="lt-LT"/>
        </w:rPr>
        <w:t>nam</w:t>
      </w:r>
      <w:r w:rsidR="002C17AB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805A19">
        <w:rPr>
          <w:rFonts w:ascii="Times New Roman" w:hAnsi="Times New Roman" w:cs="Times New Roman"/>
          <w:sz w:val="24"/>
          <w:szCs w:val="24"/>
          <w:lang w:val="lt-LT"/>
        </w:rPr>
        <w:t xml:space="preserve"> priešmokyklinio </w:t>
      </w:r>
      <w:r w:rsidRPr="002553DE">
        <w:rPr>
          <w:rFonts w:ascii="Times New Roman" w:hAnsi="Times New Roman" w:cs="Times New Roman"/>
          <w:sz w:val="24"/>
          <w:szCs w:val="24"/>
          <w:lang w:val="lt-LT"/>
        </w:rPr>
        <w:t>UT</w:t>
      </w:r>
      <w:r w:rsidR="0084590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553DE">
        <w:rPr>
          <w:rFonts w:ascii="Times New Roman" w:hAnsi="Times New Roman" w:cs="Times New Roman"/>
          <w:sz w:val="24"/>
          <w:szCs w:val="24"/>
          <w:lang w:val="lt-LT"/>
        </w:rPr>
        <w:t>įgyvendinimui.</w:t>
      </w:r>
    </w:p>
    <w:p w14:paraId="47241F9F" w14:textId="0AFEBD43" w:rsidR="001B19FE" w:rsidRPr="002553DE" w:rsidRDefault="001B19FE" w:rsidP="001B19F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2553DE">
        <w:rPr>
          <w:rFonts w:ascii="Times New Roman" w:hAnsi="Times New Roman" w:cs="Times New Roman"/>
          <w:sz w:val="24"/>
          <w:szCs w:val="24"/>
          <w:lang w:val="lt-LT"/>
        </w:rPr>
        <w:tab/>
        <w:t>3. Atlikti situacijos įsivertinimą</w:t>
      </w:r>
      <w:r w:rsidR="009E7F17" w:rsidRPr="002553DE">
        <w:rPr>
          <w:rFonts w:ascii="Times New Roman" w:hAnsi="Times New Roman" w:cs="Times New Roman"/>
          <w:sz w:val="24"/>
          <w:szCs w:val="24"/>
          <w:lang w:val="lt-LT"/>
        </w:rPr>
        <w:t xml:space="preserve"> įstaigoje.</w:t>
      </w:r>
    </w:p>
    <w:p w14:paraId="7216DCAD" w14:textId="52947EC4" w:rsidR="001B19FE" w:rsidRPr="002553DE" w:rsidRDefault="001B19FE" w:rsidP="001B19F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2553DE">
        <w:rPr>
          <w:rFonts w:ascii="Times New Roman" w:hAnsi="Times New Roman" w:cs="Times New Roman"/>
          <w:sz w:val="24"/>
          <w:szCs w:val="24"/>
          <w:lang w:val="lt-LT"/>
        </w:rPr>
        <w:tab/>
        <w:t xml:space="preserve">4. </w:t>
      </w:r>
      <w:r w:rsidRPr="002553DE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Sudaryti sąlygas </w:t>
      </w:r>
      <w:r w:rsidR="0084590D">
        <w:rPr>
          <w:rFonts w:ascii="Times New Roman" w:hAnsi="Times New Roman" w:cs="Times New Roman"/>
          <w:color w:val="000000"/>
          <w:sz w:val="24"/>
          <w:szCs w:val="24"/>
          <w:lang w:val="lt-LT"/>
        </w:rPr>
        <w:t>atnaujinamo</w:t>
      </w:r>
      <w:r w:rsidR="009E6E7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priešmokyklinio</w:t>
      </w:r>
      <w:r w:rsidR="0084590D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2553DE">
        <w:rPr>
          <w:rFonts w:ascii="Times New Roman" w:hAnsi="Times New Roman" w:cs="Times New Roman"/>
          <w:color w:val="000000"/>
          <w:sz w:val="24"/>
          <w:szCs w:val="24"/>
          <w:lang w:val="lt-LT"/>
        </w:rPr>
        <w:t>UT diegimui. </w:t>
      </w:r>
    </w:p>
    <w:p w14:paraId="76093A91" w14:textId="13511749" w:rsidR="004E5B75" w:rsidRDefault="001B19FE" w:rsidP="0044340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2553DE">
        <w:rPr>
          <w:rFonts w:ascii="Times New Roman" w:hAnsi="Times New Roman" w:cs="Times New Roman"/>
          <w:color w:val="000000"/>
          <w:sz w:val="24"/>
          <w:szCs w:val="24"/>
          <w:lang w:val="lt-LT"/>
        </w:rPr>
        <w:tab/>
        <w:t xml:space="preserve">5. Vykdyti </w:t>
      </w:r>
      <w:r w:rsidR="001B4C2F">
        <w:rPr>
          <w:rFonts w:ascii="Times New Roman" w:hAnsi="Times New Roman" w:cs="Times New Roman"/>
          <w:color w:val="000000"/>
          <w:sz w:val="24"/>
          <w:szCs w:val="24"/>
          <w:lang w:val="lt-LT"/>
        </w:rPr>
        <w:t>atnaujinimo</w:t>
      </w:r>
      <w:r w:rsidRPr="002553DE">
        <w:rPr>
          <w:rFonts w:ascii="Times New Roman" w:hAnsi="Times New Roman" w:cs="Times New Roman"/>
          <w:color w:val="000000"/>
          <w:sz w:val="24"/>
          <w:szCs w:val="24"/>
          <w:lang w:val="lt-LT"/>
        </w:rPr>
        <w:t>  proceso stebėseną.</w:t>
      </w:r>
    </w:p>
    <w:p w14:paraId="28F6F615" w14:textId="77777777" w:rsidR="00443404" w:rsidRPr="00443404" w:rsidRDefault="00443404" w:rsidP="0044340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13745" w:type="dxa"/>
        <w:tblLook w:val="04A0" w:firstRow="1" w:lastRow="0" w:firstColumn="1" w:lastColumn="0" w:noHBand="0" w:noVBand="1"/>
      </w:tblPr>
      <w:tblGrid>
        <w:gridCol w:w="704"/>
        <w:gridCol w:w="12"/>
        <w:gridCol w:w="2722"/>
        <w:gridCol w:w="64"/>
        <w:gridCol w:w="37"/>
        <w:gridCol w:w="1527"/>
        <w:gridCol w:w="23"/>
        <w:gridCol w:w="9"/>
        <w:gridCol w:w="1646"/>
        <w:gridCol w:w="18"/>
        <w:gridCol w:w="37"/>
        <w:gridCol w:w="1560"/>
        <w:gridCol w:w="41"/>
        <w:gridCol w:w="48"/>
        <w:gridCol w:w="5297"/>
      </w:tblGrid>
      <w:tr w:rsidR="00A46736" w14:paraId="587BFCCC" w14:textId="77777777" w:rsidTr="009E7F17">
        <w:tc>
          <w:tcPr>
            <w:tcW w:w="716" w:type="dxa"/>
            <w:gridSpan w:val="2"/>
          </w:tcPr>
          <w:p w14:paraId="6FBD411C" w14:textId="27CD2174" w:rsidR="004E5B75" w:rsidRPr="0069671C" w:rsidRDefault="004E5B75" w:rsidP="0069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67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722" w:type="dxa"/>
          </w:tcPr>
          <w:p w14:paraId="4A77CA21" w14:textId="196E6489" w:rsidR="004E5B75" w:rsidRPr="0069671C" w:rsidRDefault="004E5B75" w:rsidP="0069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67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Priemonės</w:t>
            </w:r>
          </w:p>
        </w:tc>
        <w:tc>
          <w:tcPr>
            <w:tcW w:w="1651" w:type="dxa"/>
            <w:gridSpan w:val="4"/>
          </w:tcPr>
          <w:p w14:paraId="709230AC" w14:textId="2A3F96DC" w:rsidR="004E5B75" w:rsidRPr="0069671C" w:rsidRDefault="0069671C" w:rsidP="0069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67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Terminas</w:t>
            </w:r>
          </w:p>
        </w:tc>
        <w:tc>
          <w:tcPr>
            <w:tcW w:w="1655" w:type="dxa"/>
            <w:gridSpan w:val="2"/>
          </w:tcPr>
          <w:p w14:paraId="33622AC6" w14:textId="6F9A8727" w:rsidR="004E5B75" w:rsidRPr="0069671C" w:rsidRDefault="0069671C" w:rsidP="0069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67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Ištekliai</w:t>
            </w:r>
          </w:p>
        </w:tc>
        <w:tc>
          <w:tcPr>
            <w:tcW w:w="1656" w:type="dxa"/>
            <w:gridSpan w:val="4"/>
          </w:tcPr>
          <w:p w14:paraId="580FC42C" w14:textId="0924DA7F" w:rsidR="004E5B75" w:rsidRPr="0069671C" w:rsidRDefault="0069671C" w:rsidP="0069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67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Atsakingi vykdytojai</w:t>
            </w:r>
          </w:p>
        </w:tc>
        <w:tc>
          <w:tcPr>
            <w:tcW w:w="5345" w:type="dxa"/>
            <w:gridSpan w:val="2"/>
          </w:tcPr>
          <w:p w14:paraId="6FE5A871" w14:textId="5324047D" w:rsidR="004E5B75" w:rsidRPr="0069671C" w:rsidRDefault="0069671C" w:rsidP="0069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67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Laukiamas rezultatas</w:t>
            </w:r>
          </w:p>
        </w:tc>
      </w:tr>
      <w:tr w:rsidR="0069671C" w14:paraId="320E2F37" w14:textId="77777777" w:rsidTr="00264CBA">
        <w:tc>
          <w:tcPr>
            <w:tcW w:w="13745" w:type="dxa"/>
            <w:gridSpan w:val="15"/>
          </w:tcPr>
          <w:p w14:paraId="6C7DD2D5" w14:textId="7027B0DC" w:rsidR="0069671C" w:rsidRPr="00532FFA" w:rsidRDefault="0069671C" w:rsidP="00E3105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32F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1 uždavinys. </w:t>
            </w:r>
            <w:r w:rsidR="00E31053" w:rsidRPr="001B19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Sudaryti ir </w:t>
            </w:r>
            <w:proofErr w:type="spellStart"/>
            <w:r w:rsidR="00E31053" w:rsidRPr="001B19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įveiklinti</w:t>
            </w:r>
            <w:proofErr w:type="spellEnd"/>
            <w:r w:rsidR="00E31053" w:rsidRPr="001B19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="008459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atnaujin</w:t>
            </w:r>
            <w:r w:rsidR="004948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am</w:t>
            </w:r>
            <w:r w:rsidR="003631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o</w:t>
            </w:r>
            <w:r w:rsidR="008459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="00805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priešmokyklinio </w:t>
            </w:r>
            <w:r w:rsidR="00E31053" w:rsidRPr="001B19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UT komandą</w:t>
            </w:r>
          </w:p>
        </w:tc>
      </w:tr>
      <w:tr w:rsidR="003715FD" w14:paraId="4024E22E" w14:textId="77777777" w:rsidTr="009E7F17">
        <w:tc>
          <w:tcPr>
            <w:tcW w:w="716" w:type="dxa"/>
            <w:gridSpan w:val="2"/>
          </w:tcPr>
          <w:p w14:paraId="3C8FC42E" w14:textId="36EBE804" w:rsidR="00E31053" w:rsidRDefault="00E31053" w:rsidP="005972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1.1. </w:t>
            </w:r>
          </w:p>
        </w:tc>
        <w:tc>
          <w:tcPr>
            <w:tcW w:w="2786" w:type="dxa"/>
            <w:gridSpan w:val="2"/>
          </w:tcPr>
          <w:p w14:paraId="7265EEF3" w14:textId="4F87A1C2" w:rsidR="00E31053" w:rsidRDefault="0084590D" w:rsidP="0059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</w:t>
            </w:r>
            <w:r w:rsidR="004948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am</w:t>
            </w:r>
            <w:r w:rsidR="002C17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 </w:t>
            </w:r>
            <w:r w:rsidR="00C4145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priešmokyklinio </w:t>
            </w:r>
            <w:r w:rsidR="00E310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UT komandos </w:t>
            </w:r>
            <w:r w:rsidR="00C4145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(toliau -Komanda) </w:t>
            </w:r>
            <w:r w:rsidR="00E3105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sudarymas</w:t>
            </w:r>
          </w:p>
        </w:tc>
        <w:tc>
          <w:tcPr>
            <w:tcW w:w="1564" w:type="dxa"/>
            <w:gridSpan w:val="2"/>
          </w:tcPr>
          <w:p w14:paraId="4B8CE31A" w14:textId="37EEDE25" w:rsidR="00E31053" w:rsidRDefault="00E31053" w:rsidP="0059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m. rug</w:t>
            </w:r>
            <w:r w:rsidR="002C17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sėjo </w:t>
            </w:r>
            <w:r w:rsidR="00EF10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mėn.</w:t>
            </w:r>
          </w:p>
        </w:tc>
        <w:tc>
          <w:tcPr>
            <w:tcW w:w="1696" w:type="dxa"/>
            <w:gridSpan w:val="4"/>
          </w:tcPr>
          <w:p w14:paraId="76F13BFA" w14:textId="11A56A69" w:rsidR="00E31053" w:rsidRDefault="00164E94" w:rsidP="0059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 ištekliai</w:t>
            </w:r>
          </w:p>
        </w:tc>
        <w:tc>
          <w:tcPr>
            <w:tcW w:w="1686" w:type="dxa"/>
            <w:gridSpan w:val="4"/>
          </w:tcPr>
          <w:p w14:paraId="6982312D" w14:textId="77777777" w:rsidR="00E31053" w:rsidRDefault="00164E94" w:rsidP="0059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direktoriaus pavaduotojas ugdymui</w:t>
            </w:r>
          </w:p>
          <w:p w14:paraId="1F96D65D" w14:textId="7FF4B2F4" w:rsidR="002553DE" w:rsidRDefault="002553DE" w:rsidP="0059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297" w:type="dxa"/>
          </w:tcPr>
          <w:p w14:paraId="78AA8107" w14:textId="43436ACA" w:rsidR="00E31053" w:rsidRDefault="00E31053" w:rsidP="00597254">
            <w:pPr>
              <w:pStyle w:val="prastasiniatinklio"/>
              <w:spacing w:before="0" w:beforeAutospacing="0" w:after="0" w:afterAutospacing="0"/>
              <w:ind w:hanging="108"/>
            </w:pPr>
            <w:r w:rsidRPr="00C4145C">
              <w:rPr>
                <w:rFonts w:ascii="Nunito" w:hAnsi="Nunito"/>
                <w:sz w:val="22"/>
                <w:szCs w:val="22"/>
              </w:rPr>
              <w:t> </w:t>
            </w:r>
            <w:r w:rsidR="00C4145C">
              <w:rPr>
                <w:rFonts w:ascii="Nunito" w:hAnsi="Nunito"/>
                <w:sz w:val="22"/>
                <w:szCs w:val="22"/>
              </w:rPr>
              <w:t xml:space="preserve"> </w:t>
            </w:r>
            <w:r w:rsidR="00C4145C" w:rsidRPr="00C4145C">
              <w:t>K</w:t>
            </w:r>
            <w:r w:rsidRPr="00164E94">
              <w:t xml:space="preserve">omanda koordinuos sklandų </w:t>
            </w:r>
            <w:r w:rsidR="0084590D">
              <w:t>atnaujin</w:t>
            </w:r>
            <w:r w:rsidR="0049480B">
              <w:t>amo</w:t>
            </w:r>
            <w:r w:rsidR="002C17AB">
              <w:t xml:space="preserve"> </w:t>
            </w:r>
            <w:r w:rsidR="00C4145C">
              <w:t xml:space="preserve">priešmokyklinio </w:t>
            </w:r>
            <w:r w:rsidRPr="00164E94">
              <w:t>UT</w:t>
            </w:r>
            <w:r w:rsidR="0084590D">
              <w:t xml:space="preserve"> </w:t>
            </w:r>
            <w:r w:rsidRPr="00164E94">
              <w:t xml:space="preserve"> įgyvendinimą</w:t>
            </w:r>
            <w:r w:rsidR="0084590D">
              <w:t xml:space="preserve"> - teiks informaciją mokyklos bendruomenei, bendradarbiaus su turinio įgyvendinimo ir koordinavimo komanda savivaldybėje, švietimo pagalbos tarnyba.</w:t>
            </w:r>
          </w:p>
        </w:tc>
      </w:tr>
      <w:tr w:rsidR="00164E94" w14:paraId="77443779" w14:textId="77777777" w:rsidTr="00FA0233">
        <w:tc>
          <w:tcPr>
            <w:tcW w:w="13745" w:type="dxa"/>
            <w:gridSpan w:val="15"/>
          </w:tcPr>
          <w:p w14:paraId="0F1A192B" w14:textId="7E361155" w:rsidR="00164E94" w:rsidRPr="00EF109D" w:rsidRDefault="00164E94" w:rsidP="00EF10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F1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</w:t>
            </w:r>
            <w:proofErr w:type="spellStart"/>
            <w:r w:rsidRPr="00EF1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uždavinys</w:t>
            </w:r>
            <w:proofErr w:type="spellEnd"/>
            <w:r w:rsidRPr="00EF1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F109D" w:rsidRPr="00EF10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Parengti veiksmų planą </w:t>
            </w:r>
            <w:r w:rsidR="008459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atnaujinamo </w:t>
            </w:r>
            <w:r w:rsidR="00805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priešmokyklinio </w:t>
            </w:r>
            <w:r w:rsidR="00EF109D" w:rsidRPr="00EF10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UT įgyvendinimui</w:t>
            </w:r>
          </w:p>
        </w:tc>
      </w:tr>
      <w:tr w:rsidR="001D09BC" w14:paraId="02712D49" w14:textId="77777777" w:rsidTr="009E7F17">
        <w:tc>
          <w:tcPr>
            <w:tcW w:w="716" w:type="dxa"/>
            <w:gridSpan w:val="2"/>
          </w:tcPr>
          <w:p w14:paraId="7A5AF285" w14:textId="26A71895" w:rsidR="00164E94" w:rsidRPr="00EF109D" w:rsidRDefault="00EF109D" w:rsidP="00164E94">
            <w:pPr>
              <w:pStyle w:val="prastasiniatinklio"/>
              <w:spacing w:before="0" w:beforeAutospacing="0" w:after="0" w:afterAutospacing="0"/>
              <w:ind w:right="140" w:hanging="108"/>
            </w:pPr>
            <w:r>
              <w:t xml:space="preserve"> </w:t>
            </w:r>
            <w:r w:rsidR="00164E94" w:rsidRPr="00EF109D">
              <w:t>2.1.</w:t>
            </w:r>
          </w:p>
        </w:tc>
        <w:tc>
          <w:tcPr>
            <w:tcW w:w="2786" w:type="dxa"/>
            <w:gridSpan w:val="2"/>
          </w:tcPr>
          <w:p w14:paraId="0E16C198" w14:textId="23F9FDF1" w:rsidR="00164E94" w:rsidRPr="00EF109D" w:rsidRDefault="00EF109D" w:rsidP="00164E94">
            <w:pPr>
              <w:pStyle w:val="prastasiniatinklio"/>
              <w:spacing w:before="0" w:beforeAutospacing="0" w:after="0" w:afterAutospacing="0"/>
              <w:ind w:right="140" w:hanging="108"/>
            </w:pPr>
            <w:r>
              <w:t xml:space="preserve"> </w:t>
            </w:r>
            <w:r w:rsidRPr="00EF109D">
              <w:t xml:space="preserve">Veiksmų planas </w:t>
            </w:r>
          </w:p>
        </w:tc>
        <w:tc>
          <w:tcPr>
            <w:tcW w:w="1564" w:type="dxa"/>
            <w:gridSpan w:val="2"/>
          </w:tcPr>
          <w:p w14:paraId="1A0DAB2E" w14:textId="268ACBA3" w:rsidR="00164E94" w:rsidRPr="00EF109D" w:rsidRDefault="00EF109D" w:rsidP="00164E94">
            <w:pPr>
              <w:pStyle w:val="prastasiniatinklio"/>
              <w:spacing w:before="0" w:beforeAutospacing="0" w:after="0" w:afterAutospacing="0"/>
              <w:ind w:right="140" w:hanging="108"/>
            </w:pPr>
            <w:r>
              <w:rPr>
                <w:b/>
                <w:bCs/>
              </w:rPr>
              <w:t xml:space="preserve"> </w:t>
            </w:r>
            <w:r w:rsidRPr="00EF109D">
              <w:t>2022 m.</w:t>
            </w:r>
            <w:r>
              <w:t xml:space="preserve"> </w:t>
            </w:r>
            <w:r w:rsidRPr="00EF109D">
              <w:t>rug</w:t>
            </w:r>
            <w:r w:rsidR="00A46736">
              <w:t xml:space="preserve">sėjo </w:t>
            </w:r>
            <w:r w:rsidRPr="00EF109D">
              <w:t>mėn.</w:t>
            </w:r>
          </w:p>
        </w:tc>
        <w:tc>
          <w:tcPr>
            <w:tcW w:w="1696" w:type="dxa"/>
            <w:gridSpan w:val="4"/>
          </w:tcPr>
          <w:p w14:paraId="196CB7B7" w14:textId="40D6ED92" w:rsidR="00164E94" w:rsidRPr="00164E94" w:rsidRDefault="00EF109D" w:rsidP="00164E94">
            <w:pPr>
              <w:pStyle w:val="prastasiniatinklio"/>
              <w:spacing w:before="0" w:beforeAutospacing="0" w:after="0" w:afterAutospacing="0"/>
              <w:ind w:right="140" w:hanging="108"/>
              <w:rPr>
                <w:b/>
                <w:bCs/>
              </w:rPr>
            </w:pPr>
            <w:r>
              <w:t xml:space="preserve">  Žmogiškieji ištekliai</w:t>
            </w:r>
          </w:p>
        </w:tc>
        <w:tc>
          <w:tcPr>
            <w:tcW w:w="1686" w:type="dxa"/>
            <w:gridSpan w:val="4"/>
          </w:tcPr>
          <w:p w14:paraId="7AD09D33" w14:textId="7D0F1AB8" w:rsidR="00164E94" w:rsidRPr="00164E94" w:rsidRDefault="00EF109D" w:rsidP="00164E94">
            <w:pPr>
              <w:pStyle w:val="prastasiniatinklio"/>
              <w:spacing w:before="0" w:beforeAutospacing="0" w:after="0" w:afterAutospacing="0"/>
              <w:ind w:right="140" w:hanging="108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10754E" w:rsidRPr="0010754E">
              <w:t>Įstaigos</w:t>
            </w:r>
            <w:r w:rsidR="00C4145C">
              <w:t xml:space="preserve"> K</w:t>
            </w:r>
            <w:r>
              <w:t>omanda</w:t>
            </w:r>
          </w:p>
        </w:tc>
        <w:tc>
          <w:tcPr>
            <w:tcW w:w="5297" w:type="dxa"/>
          </w:tcPr>
          <w:p w14:paraId="13F03D6D" w14:textId="27BFD609" w:rsidR="00A46736" w:rsidRPr="00597254" w:rsidRDefault="00EF109D" w:rsidP="00597254">
            <w:pPr>
              <w:pStyle w:val="prastasiniatinklio"/>
              <w:spacing w:before="0" w:beforeAutospacing="0" w:after="0" w:afterAutospacing="0"/>
              <w:ind w:right="140" w:hanging="51"/>
            </w:pPr>
            <w:r w:rsidRPr="009E7F17">
              <w:t>V</w:t>
            </w:r>
            <w:r w:rsidR="009E7F17" w:rsidRPr="009E7F17">
              <w:t xml:space="preserve">adovaujantis veiksmų planu, </w:t>
            </w:r>
            <w:r w:rsidR="00C4145C">
              <w:t>priešmokyklinio ugdymo mokytojai ir kiti pedagogai</w:t>
            </w:r>
            <w:r w:rsidR="009E6E76">
              <w:t xml:space="preserve">, ugdantys priešmokyklinio amžiaus vaikus, </w:t>
            </w:r>
            <w:r w:rsidR="00A46736">
              <w:t xml:space="preserve"> </w:t>
            </w:r>
            <w:r w:rsidR="009E7F17" w:rsidRPr="009E7F17">
              <w:t xml:space="preserve">žinos </w:t>
            </w:r>
            <w:r w:rsidR="00C4145C">
              <w:t>kaip ren</w:t>
            </w:r>
            <w:r w:rsidR="009E6E76">
              <w:t>g</w:t>
            </w:r>
            <w:r w:rsidR="00C4145C">
              <w:t xml:space="preserve">ti atnaujintus planus, </w:t>
            </w:r>
            <w:r w:rsidR="00CE6CD3">
              <w:t xml:space="preserve">kaip vertinti pasiekimus ir pažangą lygiais, </w:t>
            </w:r>
            <w:r w:rsidR="009E7F17" w:rsidRPr="009E7F17">
              <w:t xml:space="preserve">kokiu tempu dirbti, kokias priemones nusimatyti, pasiskirstys užduotimis, </w:t>
            </w:r>
            <w:r w:rsidR="009E7F17" w:rsidRPr="009E7F17">
              <w:lastRenderedPageBreak/>
              <w:t>galės planuoti laiką savalaikiam užduočių atlikimui</w:t>
            </w:r>
            <w:r w:rsidR="00C4145C">
              <w:t>.</w:t>
            </w:r>
            <w:r w:rsidR="00CE6CD3">
              <w:t xml:space="preserve"> </w:t>
            </w:r>
          </w:p>
        </w:tc>
      </w:tr>
      <w:tr w:rsidR="009E7F17" w14:paraId="45A5410B" w14:textId="77777777" w:rsidTr="001073D6">
        <w:tc>
          <w:tcPr>
            <w:tcW w:w="13745" w:type="dxa"/>
            <w:gridSpan w:val="15"/>
          </w:tcPr>
          <w:p w14:paraId="0CE19888" w14:textId="16AD06C9" w:rsidR="009E7F17" w:rsidRPr="009E7F17" w:rsidRDefault="009E7F17" w:rsidP="009E7F17">
            <w:pPr>
              <w:pStyle w:val="prastasiniatinklio"/>
              <w:spacing w:before="0" w:beforeAutospacing="0" w:after="0" w:afterAutospacing="0"/>
              <w:ind w:right="140" w:hanging="51"/>
            </w:pPr>
            <w:r>
              <w:lastRenderedPageBreak/>
              <w:t xml:space="preserve"> </w:t>
            </w:r>
            <w:r w:rsidRPr="009E7F17">
              <w:rPr>
                <w:b/>
                <w:bCs/>
              </w:rPr>
              <w:t>3 uždavinys.</w:t>
            </w:r>
            <w:r>
              <w:t xml:space="preserve"> </w:t>
            </w:r>
            <w:r w:rsidRPr="001B19FE">
              <w:rPr>
                <w:b/>
                <w:bCs/>
              </w:rPr>
              <w:t>Atlikti situacijos įsivertinimą</w:t>
            </w:r>
            <w:r>
              <w:rPr>
                <w:b/>
                <w:bCs/>
              </w:rPr>
              <w:t xml:space="preserve"> įstaigoje</w:t>
            </w:r>
          </w:p>
        </w:tc>
      </w:tr>
      <w:tr w:rsidR="00A46736" w14:paraId="38345314" w14:textId="77777777" w:rsidTr="009E7F17">
        <w:tc>
          <w:tcPr>
            <w:tcW w:w="716" w:type="dxa"/>
            <w:gridSpan w:val="2"/>
          </w:tcPr>
          <w:p w14:paraId="4020DCFF" w14:textId="51833A84" w:rsidR="009E7F17" w:rsidRDefault="009E7F17" w:rsidP="009E7F17">
            <w:pPr>
              <w:pStyle w:val="prastasiniatinklio"/>
              <w:spacing w:before="0" w:beforeAutospacing="0" w:after="0" w:afterAutospacing="0"/>
              <w:ind w:right="140" w:hanging="51"/>
            </w:pPr>
            <w:r>
              <w:t>3.1.</w:t>
            </w:r>
          </w:p>
        </w:tc>
        <w:tc>
          <w:tcPr>
            <w:tcW w:w="2786" w:type="dxa"/>
            <w:gridSpan w:val="2"/>
          </w:tcPr>
          <w:p w14:paraId="47CAE998" w14:textId="4111F0F7" w:rsidR="009E7F17" w:rsidRDefault="009E6E76" w:rsidP="009E7F17">
            <w:pPr>
              <w:pStyle w:val="prastasiniatinklio"/>
              <w:spacing w:before="0" w:beforeAutospacing="0" w:after="0" w:afterAutospacing="0"/>
              <w:ind w:right="140" w:hanging="51"/>
            </w:pPr>
            <w:r>
              <w:t xml:space="preserve"> </w:t>
            </w:r>
            <w:r w:rsidR="009E7F17">
              <w:t>Situacijos analizė dėl įstaigos galimybių ir pasirengimo atnauji</w:t>
            </w:r>
            <w:r w:rsidR="001D09BC">
              <w:t xml:space="preserve">nant </w:t>
            </w:r>
            <w:r>
              <w:t xml:space="preserve">priešmokyklinio UT </w:t>
            </w:r>
          </w:p>
        </w:tc>
        <w:tc>
          <w:tcPr>
            <w:tcW w:w="1564" w:type="dxa"/>
            <w:gridSpan w:val="2"/>
          </w:tcPr>
          <w:p w14:paraId="4E704695" w14:textId="48E619F3" w:rsidR="009E7F17" w:rsidRPr="009E7F17" w:rsidRDefault="009E7F17" w:rsidP="009E7F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 m. rug</w:t>
            </w:r>
            <w:r w:rsidR="00A4673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sėjo - </w:t>
            </w:r>
            <w:r w:rsidR="001075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696" w:type="dxa"/>
            <w:gridSpan w:val="4"/>
          </w:tcPr>
          <w:p w14:paraId="44509E37" w14:textId="36A097EB" w:rsidR="009E7F17" w:rsidRDefault="009E7F17" w:rsidP="009E7F17">
            <w:pPr>
              <w:pStyle w:val="prastasiniatinklio"/>
              <w:spacing w:before="0" w:beforeAutospacing="0" w:after="0" w:afterAutospacing="0"/>
              <w:ind w:right="140" w:hanging="51"/>
            </w:pPr>
            <w:r>
              <w:t>Žmogiškieji</w:t>
            </w:r>
            <w:r w:rsidR="002C17AB">
              <w:t xml:space="preserve"> </w:t>
            </w:r>
            <w:r>
              <w:t>ištekliai</w:t>
            </w:r>
          </w:p>
        </w:tc>
        <w:tc>
          <w:tcPr>
            <w:tcW w:w="1686" w:type="dxa"/>
            <w:gridSpan w:val="4"/>
          </w:tcPr>
          <w:p w14:paraId="72EC1E97" w14:textId="2E0617ED" w:rsidR="009F557F" w:rsidRDefault="009F557F" w:rsidP="009F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direktoriaus pavaduotojas ugdymui,</w:t>
            </w:r>
          </w:p>
          <w:p w14:paraId="63D286E2" w14:textId="5702B75A" w:rsidR="009E7F17" w:rsidRDefault="009F557F" w:rsidP="00597254">
            <w:pPr>
              <w:pStyle w:val="prastasiniatinklio"/>
              <w:spacing w:before="0" w:beforeAutospacing="0" w:after="0" w:afterAutospacing="0"/>
              <w:ind w:right="140"/>
            </w:pPr>
            <w:r>
              <w:t>į</w:t>
            </w:r>
            <w:r w:rsidR="0010754E">
              <w:t>staigo</w:t>
            </w:r>
            <w:r w:rsidR="001D09BC">
              <w:t>s</w:t>
            </w:r>
            <w:r w:rsidR="00597254">
              <w:t xml:space="preserve">  </w:t>
            </w:r>
            <w:r w:rsidR="001D09BC">
              <w:t>K</w:t>
            </w:r>
            <w:r w:rsidR="00597254">
              <w:t>omanda</w:t>
            </w:r>
          </w:p>
        </w:tc>
        <w:tc>
          <w:tcPr>
            <w:tcW w:w="5297" w:type="dxa"/>
          </w:tcPr>
          <w:p w14:paraId="2731AFDC" w14:textId="552274AE" w:rsidR="009E7F17" w:rsidRDefault="00597254" w:rsidP="00805A19">
            <w:pPr>
              <w:pStyle w:val="prastasiniatinklio"/>
              <w:spacing w:before="0" w:beforeAutospacing="0" w:after="0" w:afterAutospacing="0"/>
              <w:ind w:left="-51" w:right="140"/>
            </w:pPr>
            <w:r>
              <w:t xml:space="preserve">Situacijos analizė padės įsivertinti realias įstaigos galimybes kaip tinkamai atnaujinti </w:t>
            </w:r>
            <w:r w:rsidR="001D09BC">
              <w:t>priešmokyklinio UT</w:t>
            </w:r>
            <w:r>
              <w:t>, kokių priemonių, žmogiškųjų ir materialinių išteklių trūksta</w:t>
            </w:r>
            <w:r w:rsidR="00416E86">
              <w:t>, išsiaiškinti stipriąsias ir tobulintinas veiklos sritis, mokytojų profesinio tobulėjimo poreikio lygį bei turės įtakos rengiant įstaigos strateginį ir metinį veiklos planus.</w:t>
            </w:r>
            <w:r w:rsidR="00D14D9A">
              <w:t xml:space="preserve"> Padės</w:t>
            </w:r>
            <w:r w:rsidR="00805A19">
              <w:t xml:space="preserve"> s</w:t>
            </w:r>
            <w:r w:rsidR="00D14D9A">
              <w:t xml:space="preserve">uplanuoti stebėsenos rodiklius ir </w:t>
            </w:r>
            <w:r w:rsidR="002C17AB">
              <w:t>dirbant,</w:t>
            </w:r>
            <w:r w:rsidR="00D14D9A">
              <w:t xml:space="preserve"> pagal atnaujintą bendrąją priešmokyklinio ugdymo programą, atlikti pakartotinį įsivertinimą</w:t>
            </w:r>
            <w:r w:rsidR="00805A19">
              <w:t>.</w:t>
            </w:r>
          </w:p>
        </w:tc>
      </w:tr>
      <w:tr w:rsidR="00597254" w14:paraId="28E8E00A" w14:textId="77777777" w:rsidTr="00246CC4">
        <w:tc>
          <w:tcPr>
            <w:tcW w:w="13745" w:type="dxa"/>
            <w:gridSpan w:val="15"/>
          </w:tcPr>
          <w:p w14:paraId="3DACCAB2" w14:textId="73F053B7" w:rsidR="00597254" w:rsidRPr="002553DE" w:rsidRDefault="00597254" w:rsidP="002553D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255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255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uždavinys</w:t>
            </w:r>
            <w:proofErr w:type="spellEnd"/>
            <w:r w:rsidRPr="00255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553DE" w:rsidRPr="002553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Sudaryti sąlygas </w:t>
            </w:r>
            <w:r w:rsidR="00D14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atnaujin</w:t>
            </w:r>
            <w:r w:rsidR="003631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to</w:t>
            </w:r>
            <w:r w:rsidR="00D14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r w:rsidR="00E03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priešmokyklinio </w:t>
            </w:r>
            <w:r w:rsidR="002553DE" w:rsidRPr="002553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UT diegimui</w:t>
            </w:r>
          </w:p>
        </w:tc>
      </w:tr>
      <w:tr w:rsidR="001D09BC" w14:paraId="3A678FA8" w14:textId="77777777" w:rsidTr="009E7F17">
        <w:tc>
          <w:tcPr>
            <w:tcW w:w="716" w:type="dxa"/>
            <w:gridSpan w:val="2"/>
          </w:tcPr>
          <w:p w14:paraId="35269E9F" w14:textId="378BB9EF" w:rsidR="009E7F17" w:rsidRDefault="002553DE" w:rsidP="009E7F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4.1.</w:t>
            </w:r>
          </w:p>
        </w:tc>
        <w:tc>
          <w:tcPr>
            <w:tcW w:w="2786" w:type="dxa"/>
            <w:gridSpan w:val="2"/>
          </w:tcPr>
          <w:p w14:paraId="25A01600" w14:textId="7AEA57C6" w:rsidR="009E7F17" w:rsidRDefault="002553DE" w:rsidP="009E7F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Pedagogų kvalifikacijos tobulinimas</w:t>
            </w:r>
          </w:p>
        </w:tc>
        <w:tc>
          <w:tcPr>
            <w:tcW w:w="1564" w:type="dxa"/>
            <w:gridSpan w:val="2"/>
          </w:tcPr>
          <w:p w14:paraId="0978C87B" w14:textId="1AD85FA2" w:rsidR="009E7F17" w:rsidRDefault="002553DE" w:rsidP="009E7F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</w:t>
            </w:r>
            <w:r w:rsidR="001075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F23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1075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rugsėjo mėn. </w:t>
            </w:r>
          </w:p>
        </w:tc>
        <w:tc>
          <w:tcPr>
            <w:tcW w:w="1696" w:type="dxa"/>
            <w:gridSpan w:val="4"/>
          </w:tcPr>
          <w:p w14:paraId="79AFDF49" w14:textId="7E4C6358" w:rsidR="009E7F17" w:rsidRDefault="003715FD" w:rsidP="009E7F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Finansiniai ir ž</w:t>
            </w:r>
            <w:r w:rsidR="001075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mogiškieji ištekliai</w:t>
            </w:r>
          </w:p>
        </w:tc>
        <w:tc>
          <w:tcPr>
            <w:tcW w:w="1686" w:type="dxa"/>
            <w:gridSpan w:val="4"/>
          </w:tcPr>
          <w:p w14:paraId="5C4390B9" w14:textId="2713F15C" w:rsidR="009F557F" w:rsidRDefault="009F557F" w:rsidP="009F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direktoriaus pavaduotojas ugdymui,</w:t>
            </w:r>
          </w:p>
          <w:p w14:paraId="6B15F418" w14:textId="6EA0A6D6" w:rsidR="009E7F17" w:rsidRDefault="009F557F" w:rsidP="009F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</w:t>
            </w:r>
            <w:r w:rsidR="001075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staigos </w:t>
            </w:r>
            <w:r w:rsidR="0010754E">
              <w:t xml:space="preserve">  </w:t>
            </w:r>
            <w:r w:rsidR="00CE6CD3" w:rsidRPr="00CE6CD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Start"/>
            <w:r w:rsidR="0010754E" w:rsidRPr="00CE6CD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 w:rsidR="0010754E" w:rsidRPr="009F55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manda</w:t>
            </w:r>
            <w:proofErr w:type="spellEnd"/>
            <w:r w:rsidR="0010754E" w:rsidRPr="009F55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Panevėžio švietimo centras</w:t>
            </w:r>
          </w:p>
        </w:tc>
        <w:tc>
          <w:tcPr>
            <w:tcW w:w="5297" w:type="dxa"/>
          </w:tcPr>
          <w:p w14:paraId="397BE3A1" w14:textId="0663AAA8" w:rsidR="009F557F" w:rsidRDefault="009F557F" w:rsidP="009F557F">
            <w:pPr>
              <w:spacing w:after="0" w:line="240" w:lineRule="auto"/>
              <w:ind w:left="-51" w:right="14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įstaigos</w:t>
            </w:r>
            <w:r w:rsidR="007A43C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001D09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omandos narių, priešmokyklinio ugdymo </w:t>
            </w:r>
            <w:r w:rsidR="001D09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mokytojų</w:t>
            </w:r>
            <w:r w:rsidR="002C17A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švietimo pagalbos specialistų </w:t>
            </w:r>
            <w:r w:rsidR="002C17A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ir vadovų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dalyvaus mokymuose</w:t>
            </w:r>
            <w:r w:rsidR="003715F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 konferencijose</w:t>
            </w:r>
            <w:r w:rsidR="007A43CE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, seminaruose miesto ir respublikos lygmeniu. Tai padės </w:t>
            </w:r>
            <w:r w:rsidR="001D09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atnaujinamo priešmokyklinio UT </w:t>
            </w:r>
            <w:r w:rsidR="003715F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procesų įsis</w:t>
            </w:r>
            <w:r w:rsidR="00CE6CD3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</w:t>
            </w:r>
            <w:r w:rsidR="003715F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vinimui, praktikai, dalijimuisi patirtimi, naujų metodų taikymui, mokymosi visą gyvenimą užtikrinimui</w:t>
            </w:r>
            <w:r w:rsidR="00EA3C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  <w:p w14:paraId="4442313B" w14:textId="34B35019" w:rsidR="009E7F17" w:rsidRPr="00D14D9A" w:rsidRDefault="009E7F17" w:rsidP="00D14D9A">
            <w:pPr>
              <w:spacing w:after="0" w:line="240" w:lineRule="auto"/>
              <w:ind w:left="-51" w:right="140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1D09BC" w14:paraId="2C340C46" w14:textId="77777777" w:rsidTr="009E7F17">
        <w:tc>
          <w:tcPr>
            <w:tcW w:w="716" w:type="dxa"/>
            <w:gridSpan w:val="2"/>
          </w:tcPr>
          <w:p w14:paraId="41B056A3" w14:textId="64792727" w:rsidR="003715FD" w:rsidRDefault="003715FD" w:rsidP="009E7F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4.2.</w:t>
            </w:r>
          </w:p>
        </w:tc>
        <w:tc>
          <w:tcPr>
            <w:tcW w:w="2786" w:type="dxa"/>
            <w:gridSpan w:val="2"/>
          </w:tcPr>
          <w:p w14:paraId="24F87D6A" w14:textId="220E4A8C" w:rsidR="003715FD" w:rsidRDefault="003715FD" w:rsidP="009E7F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priemonių ir aplinkų atnaujinimas</w:t>
            </w:r>
          </w:p>
        </w:tc>
        <w:tc>
          <w:tcPr>
            <w:tcW w:w="1564" w:type="dxa"/>
            <w:gridSpan w:val="2"/>
          </w:tcPr>
          <w:p w14:paraId="6BF008F2" w14:textId="4DA0DE93" w:rsidR="003715FD" w:rsidRDefault="003715FD" w:rsidP="009E7F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</w:t>
            </w:r>
            <w:r w:rsidR="00F23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  <w:r w:rsidR="00F23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gruodžio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mėn. </w:t>
            </w:r>
          </w:p>
        </w:tc>
        <w:tc>
          <w:tcPr>
            <w:tcW w:w="1696" w:type="dxa"/>
            <w:gridSpan w:val="4"/>
          </w:tcPr>
          <w:p w14:paraId="72942A04" w14:textId="69C5D5C6" w:rsidR="003715FD" w:rsidRDefault="003715FD" w:rsidP="009E7F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Finansiniai ir žmogiškieji ištekliai</w:t>
            </w:r>
          </w:p>
        </w:tc>
        <w:tc>
          <w:tcPr>
            <w:tcW w:w="1686" w:type="dxa"/>
            <w:gridSpan w:val="4"/>
          </w:tcPr>
          <w:p w14:paraId="391CD044" w14:textId="59FD0B96" w:rsidR="003715FD" w:rsidRDefault="003715FD" w:rsidP="009F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direktoriaus pavaduotojas ugdymui</w:t>
            </w:r>
          </w:p>
        </w:tc>
        <w:tc>
          <w:tcPr>
            <w:tcW w:w="5297" w:type="dxa"/>
          </w:tcPr>
          <w:p w14:paraId="216EA170" w14:textId="06B96E93" w:rsidR="003715FD" w:rsidRPr="00E47506" w:rsidRDefault="00334069" w:rsidP="003715FD">
            <w:pPr>
              <w:spacing w:after="0" w:line="240" w:lineRule="auto"/>
              <w:ind w:left="-51" w:right="140"/>
              <w:rPr>
                <w:rFonts w:ascii="Times New Roman" w:eastAsia="Times New Roman" w:hAnsi="Times New Roman" w:cs="Times New Roman"/>
                <w:color w:val="42BA97"/>
                <w:sz w:val="24"/>
                <w:szCs w:val="24"/>
                <w:lang w:val="lt-LT" w:eastAsia="lt-LT"/>
              </w:rPr>
            </w:pPr>
            <w:r w:rsidRPr="00E475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Pagal esamas finansines galimybes ir poreikį </w:t>
            </w:r>
            <w:r w:rsidR="0041750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įstaiga </w:t>
            </w:r>
            <w:r w:rsidRPr="00E475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įsi</w:t>
            </w:r>
            <w:r w:rsidR="0041750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gys</w:t>
            </w:r>
            <w:r w:rsidRPr="00E475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skaitmenin</w:t>
            </w:r>
            <w:r w:rsidR="0041750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</w:t>
            </w:r>
            <w:r w:rsidRPr="00E475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s, STEAM veik</w:t>
            </w:r>
            <w:r w:rsidR="00965C00" w:rsidRPr="00E475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</w:t>
            </w:r>
            <w:r w:rsidRPr="00E475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oms</w:t>
            </w:r>
            <w:r w:rsidR="002C17A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reikalingas</w:t>
            </w:r>
            <w:r w:rsidRPr="00E475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, </w:t>
            </w:r>
            <w:r w:rsidR="00965C00" w:rsidRPr="00E475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vaikų </w:t>
            </w:r>
            <w:r w:rsidRPr="00E475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motyvacijos </w:t>
            </w:r>
            <w:r w:rsidR="00965C00" w:rsidRPr="00E475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ir ugdymo kokybės didinimui, įtraukiojo ugdymo užtikrinimui</w:t>
            </w:r>
            <w:r w:rsidR="002C17A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, </w:t>
            </w:r>
            <w:r w:rsidRPr="00E475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priemon</w:t>
            </w:r>
            <w:r w:rsidR="0041750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</w:t>
            </w:r>
            <w:r w:rsidRPr="00E475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</w:t>
            </w:r>
            <w:r w:rsidR="00965C00" w:rsidRPr="00E475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(išmaniosios ,,bitutės“, vaizdo projektori</w:t>
            </w:r>
            <w:r w:rsidR="00E47506" w:rsidRPr="00E475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ai</w:t>
            </w:r>
            <w:r w:rsidR="00965C00" w:rsidRPr="00E475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 planšetiniai kompiuteriai</w:t>
            </w:r>
            <w:r w:rsidR="0041750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 šviesos lentos</w:t>
            </w:r>
            <w:r w:rsidR="00E47506" w:rsidRPr="00E475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ir pan.)</w:t>
            </w:r>
            <w:r w:rsidR="00965C00" w:rsidRPr="00E475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r w:rsidR="0041750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Bus į</w:t>
            </w:r>
            <w:r w:rsidR="00965C00" w:rsidRPr="00E475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rengtos naujos patrauklios</w:t>
            </w:r>
            <w:r w:rsidR="0041750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 įdomios lauko ir vidaus</w:t>
            </w:r>
            <w:r w:rsidR="00965C00" w:rsidRPr="00E475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erdvės </w:t>
            </w:r>
            <w:r w:rsidR="00EA3C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STEAM ugdymo plėtojimui </w:t>
            </w:r>
            <w:r w:rsidR="00965C00" w:rsidRPr="00E475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(STEAM laboratorija</w:t>
            </w:r>
            <w:r w:rsidR="00E47506" w:rsidRPr="00E475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lauke</w:t>
            </w:r>
            <w:r w:rsidR="00965C00" w:rsidRPr="00E475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, </w:t>
            </w:r>
            <w:r w:rsidR="00E47506" w:rsidRPr="00E475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STEAM priemonių biblioteka</w:t>
            </w:r>
            <w:r w:rsidR="0041750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, kt</w:t>
            </w:r>
            <w:r w:rsidR="00E47506" w:rsidRPr="00E47506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.)</w:t>
            </w:r>
            <w:r w:rsidR="00EA3C1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 Planuodami ugdymo turinį, priešmokyklinio ugdymo mokytojai vadovausis rekomendacijomis Patirčių erdvės</w:t>
            </w:r>
            <w:r w:rsidR="002C17A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, integruos prevencines programas </w:t>
            </w:r>
            <w:r w:rsidR="00ED44EA" w:rsidRPr="00ED44E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- </w:t>
            </w:r>
            <w:r w:rsidR="00ED44EA" w:rsidRPr="00ED44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tarptautinę programą ,,</w:t>
            </w:r>
            <w:proofErr w:type="spellStart"/>
            <w:r w:rsidR="00ED44EA" w:rsidRPr="00ED44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Zipio</w:t>
            </w:r>
            <w:proofErr w:type="spellEnd"/>
            <w:r w:rsidR="00ED44EA" w:rsidRPr="00ED44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draugai“</w:t>
            </w:r>
            <w:r w:rsidR="00ED44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ED44EA" w:rsidRPr="00ED44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programą ,,Gyvenimo </w:t>
            </w:r>
            <w:r w:rsidR="00ED44EA" w:rsidRPr="00ED44E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įgūdžių ugdymas“,  ,,Alkoholio, tabako ir kitų psichiką veikiančių medžiagų vartojimo prevencijos programą“.</w:t>
            </w:r>
          </w:p>
        </w:tc>
      </w:tr>
      <w:tr w:rsidR="00E47506" w14:paraId="14419F88" w14:textId="77777777" w:rsidTr="009E7F17">
        <w:tc>
          <w:tcPr>
            <w:tcW w:w="716" w:type="dxa"/>
            <w:gridSpan w:val="2"/>
          </w:tcPr>
          <w:p w14:paraId="26D005AA" w14:textId="179B78B6" w:rsidR="00E47506" w:rsidRDefault="00E47506" w:rsidP="009E7F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4.3. </w:t>
            </w:r>
          </w:p>
        </w:tc>
        <w:tc>
          <w:tcPr>
            <w:tcW w:w="2786" w:type="dxa"/>
            <w:gridSpan w:val="2"/>
          </w:tcPr>
          <w:p w14:paraId="15760175" w14:textId="3CD7FA5B" w:rsidR="00E47506" w:rsidRPr="009E3104" w:rsidRDefault="00EA3C1C" w:rsidP="009E7F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3104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Komunikacija ir socialinė partnerystė</w:t>
            </w:r>
          </w:p>
        </w:tc>
        <w:tc>
          <w:tcPr>
            <w:tcW w:w="1564" w:type="dxa"/>
            <w:gridSpan w:val="2"/>
          </w:tcPr>
          <w:p w14:paraId="6B22AFE8" w14:textId="6D3AD6E6" w:rsidR="00E47506" w:rsidRPr="009E3104" w:rsidRDefault="00F23016" w:rsidP="009E7F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31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</w:t>
            </w:r>
            <w:r w:rsidR="001B4C2F" w:rsidRPr="009E31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</w:t>
            </w:r>
            <w:r w:rsidRPr="009E31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E03FDD" w:rsidRPr="009E31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 </w:t>
            </w:r>
            <w:r w:rsidRPr="009E31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m. </w:t>
            </w:r>
          </w:p>
        </w:tc>
        <w:tc>
          <w:tcPr>
            <w:tcW w:w="1696" w:type="dxa"/>
            <w:gridSpan w:val="4"/>
          </w:tcPr>
          <w:p w14:paraId="2CC33F49" w14:textId="1F962FDD" w:rsidR="00E47506" w:rsidRDefault="00F23016" w:rsidP="009E7F1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 ištekliai</w:t>
            </w:r>
          </w:p>
        </w:tc>
        <w:tc>
          <w:tcPr>
            <w:tcW w:w="1686" w:type="dxa"/>
            <w:gridSpan w:val="4"/>
          </w:tcPr>
          <w:p w14:paraId="595F8B7D" w14:textId="37DDC2AF" w:rsidR="00E47506" w:rsidRDefault="00F23016" w:rsidP="009F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direktoriaus pavaduotojas ugdymui, Komanda</w:t>
            </w:r>
          </w:p>
        </w:tc>
        <w:tc>
          <w:tcPr>
            <w:tcW w:w="5297" w:type="dxa"/>
          </w:tcPr>
          <w:p w14:paraId="354505A5" w14:textId="4F177314" w:rsidR="00E47506" w:rsidRDefault="00F23016" w:rsidP="00270CF4">
            <w:pPr>
              <w:pStyle w:val="prastasiniatinklio"/>
              <w:spacing w:before="0" w:beforeAutospacing="0" w:after="0" w:afterAutospacing="0"/>
              <w:ind w:right="140"/>
            </w:pPr>
            <w:r>
              <w:t>Kokybiškai ir laiku bus teikiama informacija (susirinkimų metu, interneto svetainėje, socialinio tinklo paskyroje)</w:t>
            </w:r>
            <w:r w:rsidR="0046566C">
              <w:t xml:space="preserve"> mokytojams ir kitiems įstaigos bendruomenės nariams</w:t>
            </w:r>
            <w:r>
              <w:t>, susijusi su atnaujin</w:t>
            </w:r>
            <w:r w:rsidR="0049480B">
              <w:t xml:space="preserve">amo </w:t>
            </w:r>
            <w:r>
              <w:t xml:space="preserve">priešmokyklinio UT diegimo procesu </w:t>
            </w:r>
            <w:r w:rsidR="0057275D">
              <w:t>įstaigoje</w:t>
            </w:r>
            <w:r w:rsidR="0046566C">
              <w:t xml:space="preserve">, </w:t>
            </w:r>
            <w:r w:rsidR="009E3104">
              <w:t>siekiant vienodo pokyčio reikalingumo supratimo įstaigoje, sukurti diegiamų naujovių palaikymo atmosferą.</w:t>
            </w:r>
          </w:p>
          <w:p w14:paraId="625F3AF3" w14:textId="4286F6BE" w:rsidR="00E03FDD" w:rsidRDefault="00E03FDD" w:rsidP="00270CF4">
            <w:pPr>
              <w:pStyle w:val="prastasiniatinklio"/>
              <w:spacing w:before="0" w:beforeAutospacing="0" w:after="0" w:afterAutospacing="0"/>
              <w:ind w:right="140"/>
            </w:pPr>
            <w:r>
              <w:t xml:space="preserve">Įstaigoje bus suorganizuotos </w:t>
            </w:r>
            <w:r w:rsidR="00CE6CD3">
              <w:t xml:space="preserve">3 </w:t>
            </w:r>
            <w:r>
              <w:t xml:space="preserve">metodinės dienos, kurių metu mokytojai dalinsis profesine patirtimi, ugdymo priemonių rengimo </w:t>
            </w:r>
            <w:r w:rsidR="0036315B">
              <w:t xml:space="preserve">ir panaudojimo </w:t>
            </w:r>
            <w:r>
              <w:t>idėjomis.</w:t>
            </w:r>
          </w:p>
          <w:p w14:paraId="41772E8D" w14:textId="73298E50" w:rsidR="00B927FB" w:rsidRPr="001B4C2F" w:rsidRDefault="001B4C2F" w:rsidP="00270CF4">
            <w:pPr>
              <w:pStyle w:val="prastasiniatinklio"/>
              <w:spacing w:before="0" w:beforeAutospacing="0" w:after="0" w:afterAutospacing="0"/>
              <w:ind w:right="140"/>
            </w:pPr>
            <w:r>
              <w:t xml:space="preserve">Komanda bendradarbiaus su kitų ikimokyklinio ugdymo įstaigų Komandomis, </w:t>
            </w:r>
            <w:r w:rsidR="00B927FB">
              <w:t>Panevėžio kolegija. B</w:t>
            </w:r>
            <w:r>
              <w:t xml:space="preserve">us gaunamas ir analizuojamas grįžtamasis ryšys. </w:t>
            </w:r>
          </w:p>
        </w:tc>
      </w:tr>
      <w:tr w:rsidR="001B4C2F" w14:paraId="2FBF503E" w14:textId="77777777" w:rsidTr="00E83C12">
        <w:tc>
          <w:tcPr>
            <w:tcW w:w="13745" w:type="dxa"/>
            <w:gridSpan w:val="15"/>
          </w:tcPr>
          <w:p w14:paraId="24FD980F" w14:textId="7B4FBA94" w:rsidR="001B4C2F" w:rsidRPr="001B4C2F" w:rsidRDefault="001B4C2F" w:rsidP="001B4C2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B4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1B4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uždavinys</w:t>
            </w:r>
            <w:proofErr w:type="spellEnd"/>
            <w:r w:rsidRPr="001B4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B4C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Vykdyti atnaujinim</w:t>
            </w:r>
            <w:r w:rsidR="003631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o</w:t>
            </w:r>
            <w:r w:rsidRPr="001B4C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  proceso stebėseną</w:t>
            </w:r>
          </w:p>
        </w:tc>
      </w:tr>
      <w:tr w:rsidR="001B4C2F" w14:paraId="4E854E18" w14:textId="77777777" w:rsidTr="009E3104">
        <w:tc>
          <w:tcPr>
            <w:tcW w:w="704" w:type="dxa"/>
          </w:tcPr>
          <w:p w14:paraId="52630411" w14:textId="5DD9DC85" w:rsidR="001B4C2F" w:rsidRPr="009E3104" w:rsidRDefault="009E3104" w:rsidP="001B4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0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35" w:type="dxa"/>
            <w:gridSpan w:val="4"/>
          </w:tcPr>
          <w:p w14:paraId="3B9FE9C0" w14:textId="28DC3B00" w:rsidR="001B4C2F" w:rsidRPr="00D166C8" w:rsidRDefault="00490BE8" w:rsidP="00B9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166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</w:t>
            </w:r>
            <w:r w:rsidR="00D166C8" w:rsidRPr="00D166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ks</w:t>
            </w:r>
            <w:r w:rsidRPr="00D166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mų plano įgyvendinimo stebėsena</w:t>
            </w:r>
          </w:p>
        </w:tc>
        <w:tc>
          <w:tcPr>
            <w:tcW w:w="1559" w:type="dxa"/>
            <w:gridSpan w:val="3"/>
          </w:tcPr>
          <w:p w14:paraId="00D741F9" w14:textId="1E6BA172" w:rsidR="001B4C2F" w:rsidRPr="001B4C2F" w:rsidRDefault="00D166C8" w:rsidP="00B92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1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2022/2023 m.</w:t>
            </w:r>
          </w:p>
        </w:tc>
        <w:tc>
          <w:tcPr>
            <w:tcW w:w="1701" w:type="dxa"/>
            <w:gridSpan w:val="3"/>
          </w:tcPr>
          <w:p w14:paraId="5D0A8B0D" w14:textId="65E1FFAD" w:rsidR="001B4C2F" w:rsidRPr="001B4C2F" w:rsidRDefault="00D166C8" w:rsidP="00B92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Žmogiškieji ištekliai</w:t>
            </w:r>
          </w:p>
        </w:tc>
        <w:tc>
          <w:tcPr>
            <w:tcW w:w="1560" w:type="dxa"/>
          </w:tcPr>
          <w:p w14:paraId="78856842" w14:textId="343FCCEF" w:rsidR="001B4C2F" w:rsidRPr="001B4C2F" w:rsidRDefault="00D166C8" w:rsidP="00B92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Direktorius, direktoriaus pavaduotojas ugdymui, Komanda</w:t>
            </w:r>
          </w:p>
        </w:tc>
        <w:tc>
          <w:tcPr>
            <w:tcW w:w="5386" w:type="dxa"/>
            <w:gridSpan w:val="3"/>
          </w:tcPr>
          <w:p w14:paraId="2D0C5E2A" w14:textId="29F18C85" w:rsidR="001B4C2F" w:rsidRPr="00B927FB" w:rsidRDefault="00D166C8" w:rsidP="00B9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27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Komanda periodiškai peržiūr</w:t>
            </w:r>
            <w:r w:rsidR="00B927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</w:t>
            </w:r>
            <w:r w:rsidRPr="00B927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atnaujin</w:t>
            </w:r>
            <w:r w:rsidR="004948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amo</w:t>
            </w:r>
            <w:r w:rsidR="003631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927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priešmokyklinio UT</w:t>
            </w:r>
            <w:r w:rsidR="003631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įgyvendinimo </w:t>
            </w:r>
            <w:r w:rsidRPr="00B927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veiksmų planą ir jį koreguo</w:t>
            </w:r>
            <w:r w:rsidR="00B927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B927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atsižvelgiant </w:t>
            </w:r>
            <w:r w:rsidR="00B927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 įstaigos, miesto ir šalies </w:t>
            </w:r>
            <w:r w:rsidR="0036315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priešmokyklinio </w:t>
            </w:r>
            <w:r w:rsidR="00B927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UT atnaujinimo proc</w:t>
            </w:r>
            <w:r w:rsidR="00832F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eso dinamiškumą.</w:t>
            </w:r>
          </w:p>
        </w:tc>
      </w:tr>
    </w:tbl>
    <w:p w14:paraId="62365CF3" w14:textId="77777777" w:rsidR="004E5B75" w:rsidRPr="004E5B75" w:rsidRDefault="004E5B75" w:rsidP="006D7AE1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BAD64DD" w14:textId="066A4715" w:rsidR="004E5B75" w:rsidRPr="004E5B75" w:rsidRDefault="002B1259" w:rsidP="002B1259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</w:t>
      </w:r>
    </w:p>
    <w:p w14:paraId="6E08440E" w14:textId="77777777" w:rsidR="006D7AE1" w:rsidRPr="004E5B75" w:rsidRDefault="006D7AE1" w:rsidP="002804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51915C3" w14:textId="77777777" w:rsidR="006D7AE1" w:rsidRPr="002804B3" w:rsidRDefault="006D7AE1" w:rsidP="002804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7AE1" w:rsidRPr="002804B3" w:rsidSect="004E5B75">
      <w:pgSz w:w="15840" w:h="12240" w:orient="landscape"/>
      <w:pgMar w:top="1134" w:right="1134" w:bottom="567" w:left="1134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unito">
    <w:charset w:val="BA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6AF"/>
    <w:multiLevelType w:val="multilevel"/>
    <w:tmpl w:val="7370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981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B3"/>
    <w:rsid w:val="0010754E"/>
    <w:rsid w:val="001505E4"/>
    <w:rsid w:val="00161219"/>
    <w:rsid w:val="00164E94"/>
    <w:rsid w:val="001B19FE"/>
    <w:rsid w:val="001B4C2F"/>
    <w:rsid w:val="001D09BC"/>
    <w:rsid w:val="00220660"/>
    <w:rsid w:val="002553DE"/>
    <w:rsid w:val="00270CF4"/>
    <w:rsid w:val="002804B3"/>
    <w:rsid w:val="002B1259"/>
    <w:rsid w:val="002C17AB"/>
    <w:rsid w:val="00334069"/>
    <w:rsid w:val="003603EB"/>
    <w:rsid w:val="0036315B"/>
    <w:rsid w:val="003715FD"/>
    <w:rsid w:val="00416E86"/>
    <w:rsid w:val="0041750A"/>
    <w:rsid w:val="00443404"/>
    <w:rsid w:val="0046566C"/>
    <w:rsid w:val="00490BE8"/>
    <w:rsid w:val="0049480B"/>
    <w:rsid w:val="004E5B75"/>
    <w:rsid w:val="00517612"/>
    <w:rsid w:val="00532FFA"/>
    <w:rsid w:val="0057275D"/>
    <w:rsid w:val="00597254"/>
    <w:rsid w:val="0069671C"/>
    <w:rsid w:val="006D7AE1"/>
    <w:rsid w:val="007A43CE"/>
    <w:rsid w:val="008038B0"/>
    <w:rsid w:val="00805A19"/>
    <w:rsid w:val="00832F8D"/>
    <w:rsid w:val="0084590D"/>
    <w:rsid w:val="00965C00"/>
    <w:rsid w:val="009E3104"/>
    <w:rsid w:val="009E6E76"/>
    <w:rsid w:val="009E7F17"/>
    <w:rsid w:val="009F557F"/>
    <w:rsid w:val="00A46736"/>
    <w:rsid w:val="00A62970"/>
    <w:rsid w:val="00B927FB"/>
    <w:rsid w:val="00C4145C"/>
    <w:rsid w:val="00CE2260"/>
    <w:rsid w:val="00CE6CD3"/>
    <w:rsid w:val="00D14D9A"/>
    <w:rsid w:val="00D166C8"/>
    <w:rsid w:val="00D57284"/>
    <w:rsid w:val="00E03FDD"/>
    <w:rsid w:val="00E31053"/>
    <w:rsid w:val="00E47506"/>
    <w:rsid w:val="00E861B6"/>
    <w:rsid w:val="00EA3C1C"/>
    <w:rsid w:val="00ED44EA"/>
    <w:rsid w:val="00EF109D"/>
    <w:rsid w:val="00F21C74"/>
    <w:rsid w:val="00F2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F648"/>
  <w15:chartTrackingRefBased/>
  <w15:docId w15:val="{9E22873F-38FC-420D-A929-4AB1A089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04B3"/>
    <w:pPr>
      <w:spacing w:after="200" w:line="276" w:lineRule="auto"/>
    </w:pPr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1B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3450</Words>
  <Characters>1967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eglute macinskiene</dc:creator>
  <cp:keywords/>
  <dc:description/>
  <cp:lastModifiedBy>eglute macinskiene</cp:lastModifiedBy>
  <cp:revision>2</cp:revision>
  <dcterms:created xsi:type="dcterms:W3CDTF">2022-10-05T06:18:00Z</dcterms:created>
  <dcterms:modified xsi:type="dcterms:W3CDTF">2022-10-05T06:18:00Z</dcterms:modified>
</cp:coreProperties>
</file>